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02D91" w:rsidTr="00C02D91">
        <w:tc>
          <w:tcPr>
            <w:tcW w:w="9853" w:type="dxa"/>
            <w:shd w:val="clear" w:color="auto" w:fill="auto"/>
          </w:tcPr>
          <w:p w:rsid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02.09.2020-ғы № 4496 шығыс хаты</w:t>
            </w:r>
          </w:p>
          <w:p w:rsidR="00C02D91" w:rsidRPr="00C02D91" w:rsidRDefault="00C02D91" w:rsidP="00FE7E21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C0000"/>
                <w:sz w:val="24"/>
                <w:szCs w:val="28"/>
                <w:lang w:val="kk-KZ"/>
              </w:rPr>
              <w:t>03.09.2020-ғы № 4544 кіріс хаты</w:t>
            </w:r>
          </w:p>
        </w:tc>
      </w:tr>
    </w:tbl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1120B2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D41946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D41946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D41946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D41946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D41946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sectPr w:rsidR="00333307" w:rsidRPr="00D41946" w:rsidSect="00E203A7">
      <w:headerReference w:type="default" r:id="rId8"/>
      <w:headerReference w:type="firs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25B" w:rsidRDefault="000A325B" w:rsidP="00BC1EC3">
      <w:r>
        <w:separator/>
      </w:r>
    </w:p>
  </w:endnote>
  <w:endnote w:type="continuationSeparator" w:id="0">
    <w:p w:rsidR="000A325B" w:rsidRDefault="000A325B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25B" w:rsidRDefault="000A325B" w:rsidP="00BC1EC3">
      <w:r>
        <w:separator/>
      </w:r>
    </w:p>
  </w:footnote>
  <w:footnote w:type="continuationSeparator" w:id="0">
    <w:p w:rsidR="000A325B" w:rsidRDefault="000A325B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20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D91" w:rsidRDefault="00C02D91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B275" wp14:editId="033E30E9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2D91" w:rsidRPr="00C02D91" w:rsidRDefault="00C02D9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04.09.2020 ЭҚАБЖ МО (7.23.0 </w:t>
                          </w: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Положительный результат проверки ЭЦП.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FB275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" filled="f" stroked="f" strokeweight=".5pt">
              <v:textbox style="layout-flow:vertical;mso-layout-flow-alt:bottom-to-top">
                <w:txbxContent>
                  <w:p w:rsidR="00C02D91" w:rsidRPr="00C02D91" w:rsidRDefault="00C02D9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04.09.2020 ЭҚАБЖ МО (7.23.0 </w:t>
                    </w:r>
                    <w:proofErr w:type="spellStart"/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 w15:restartNumberingAfterBreak="0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 w15:restartNumberingAfterBreak="0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5B"/>
    <w:rsid w:val="000A32AF"/>
    <w:rsid w:val="000A4CA4"/>
    <w:rsid w:val="000A6D38"/>
    <w:rsid w:val="000A7926"/>
    <w:rsid w:val="000B0DC8"/>
    <w:rsid w:val="000B1237"/>
    <w:rsid w:val="000B1308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0B2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026A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4EC9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3CC2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E7E3E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2D9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946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8426DA-2561-4F8A-9420-14522E47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Заголовок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62D3-DD50-42FA-BD21-6803B1EB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user</cp:lastModifiedBy>
  <cp:revision>2</cp:revision>
  <cp:lastPrinted>2021-12-06T03:39:00Z</cp:lastPrinted>
  <dcterms:created xsi:type="dcterms:W3CDTF">2021-12-06T03:40:00Z</dcterms:created>
  <dcterms:modified xsi:type="dcterms:W3CDTF">2021-12-06T03:40:00Z</dcterms:modified>
</cp:coreProperties>
</file>